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347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34758" w:rsidRDefault="00DE770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34758" w:rsidRDefault="00DE770A">
            <w:pPr>
              <w:spacing w:after="0" w:line="240" w:lineRule="auto"/>
            </w:pPr>
            <w:r>
              <w:t>14584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34758" w:rsidRDefault="00DE770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34758" w:rsidRDefault="00DE770A">
            <w:pPr>
              <w:spacing w:after="0" w:line="240" w:lineRule="auto"/>
            </w:pPr>
            <w:r>
              <w:t>O.Š. IVE ANDRIĆA, ZAGREB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34758" w:rsidRDefault="00DE770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34758" w:rsidRDefault="00DE770A">
            <w:pPr>
              <w:spacing w:after="0" w:line="240" w:lineRule="auto"/>
            </w:pPr>
            <w:r>
              <w:t>31</w:t>
            </w:r>
          </w:p>
        </w:tc>
      </w:tr>
    </w:tbl>
    <w:p w:rsidR="00634758" w:rsidRDefault="00DE770A">
      <w:r>
        <w:br/>
      </w:r>
    </w:p>
    <w:p w:rsidR="00634758" w:rsidRDefault="00DE770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34758" w:rsidRDefault="00DE770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34758" w:rsidRDefault="00DE770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2.610.135,22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3.058.686,56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2.477.842,85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3.246.473,47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6347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187.786,91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107.953,29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69.122,94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6347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107.953,29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69.122,94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64,0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6347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6347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256.909,85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Manjak prihoda i primitaka u iznosu od 187.786,91 € nastao je zbog odredbi iz novog Pravilnika o proračunskom računovodstvu i Računskom planu na temelju kojeg je propisano da se podskupina računa 193 Kontinuirani rashodi budućih razdoblja ukida te da se od</w:t>
      </w:r>
      <w:r>
        <w:t xml:space="preserve"> 1. siječnja 2025. godine kontinuirani rashodi budućih razdoblja prenose i knjiže na odgovarajuće račune razreda 3 Rashodi poslovanja. Slijedom navedenog rashodi na kontima plaće veći su jer uključuju sedmi rashod odnosno trošak plaća za prosinac 2025. god</w:t>
      </w:r>
      <w:r>
        <w:t xml:space="preserve">ine. Prihodi će se priznati u siječnju 2026. godine prilikom isplate plaće i primitka sredstava za njihovo </w:t>
      </w:r>
      <w:r>
        <w:lastRenderedPageBreak/>
        <w:t>podmirenje te će nivelirati ovaj nastali manjak. Manjak prihoda od nefinancijske imovine u iznosu od 69.122,94 € odnosi se na trošak nabavljene dugot</w:t>
      </w:r>
      <w:r>
        <w:t>rajne imovine, a prihode od prodaje nefinancijske imovine nismo ostvarili u izvještajnom razdoblju.</w:t>
      </w:r>
    </w:p>
    <w:p w:rsidR="00634758" w:rsidRDefault="00DE770A">
      <w:r>
        <w:br/>
      </w:r>
    </w:p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58.977,74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Prihod za EU projekte škole.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7367,5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Primljena donacija od trgovačkog društva.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640.522,99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953.474,49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Prihod u iznosu od 953.474,49 € odnosi se na primljena sredstva Gradskog ureda za obrazovanje, sport i mlade za plaće djelatnica u programu Produženog boravka i ostale materijalne naknade za zaposlene, sredstva za financiranje pomoćnika u nastavi, za rad š</w:t>
      </w:r>
      <w:r>
        <w:t>kolskog odbora, materijalne troškove redovnog poslovanja, troškove energenata, sufinanciranu prehranu, sistematske preglede zaposlenika, sredstva za tekuće i investicijsko održavanje, prijevoz učenika u školu u prirodi, na nastavu plivanja, troškove zaštit</w:t>
      </w:r>
      <w:r>
        <w:t>arske tvrtke i ostale troškove vezane za redovan rad škole.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7.315,18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33.396,22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456,5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je veću u odnosu na prošlu godinu zbog sudjelovanja učitelja i učenika u EU projektima.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34.833,10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46.417,33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511,8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je veću u odnosu na prošlu godinu zbog sudjelovanja učitelja u EU projektima.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253,6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Kupljen je materijal za uređenje škole povodom obljetnice škole.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</w:t>
            </w:r>
            <w:r>
              <w:rPr>
                <w:sz w:val="18"/>
              </w:rPr>
              <w:t>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20.160,72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289,9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se odnosi na troškove prijevoza učenika na izvannastavne aktivnosti i prijevoz učenika s posebnim potrebama (TUR).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47.431,51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273.975,97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577,6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Troškovi uređenja elektroinstalacija u školi.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161,3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 xml:space="preserve">Troškovi dodatnih analiza vode zbog </w:t>
      </w:r>
      <w:proofErr w:type="spellStart"/>
      <w:r>
        <w:t>Legionelle</w:t>
      </w:r>
      <w:proofErr w:type="spellEnd"/>
      <w:r>
        <w:t>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Trošak police osiguranja škole.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208,4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je veću o odnosu na prošlu godinu zbog troškova vezanih za obljetnicu škole.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440,6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Naknade banke po poslovnom računu škole.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47.408,33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1.343.112,64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2833,1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Početno stanje iz prethodne godine.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18.328,66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183.790,77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1002,8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Iznosi na ovim kontima veći su u odnosu na prošlo izvještajno razdoblje zbog odredbi iz novog Pravilnika o proračunskom računovodstvu i Računskom planu na temelju kojeg je propisano da se podskupina računa 193 Kontinuirani rashodi budućih razdoblja ukida t</w:t>
      </w:r>
      <w:r>
        <w:t>e da se od 1. siječnja 2025. godine kontinuirani rashodi budućih razdoblja knjiže na 96361.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258,2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Odnosi se na izlazne račune za najam školskog prostora.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26.625,13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71,6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Nabavljene su interaktivne ploče, računala, namještaj za učionice...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20,0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Nabavljena je klima i puhač lišća.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583,9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Nabavljen je novi stroj za održavanje okoliša škole.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Knjige, umjetnička djela i ostale </w:t>
            </w:r>
            <w:r>
              <w:rPr>
                <w:sz w:val="18"/>
              </w:rPr>
              <w:t>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36.511,26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41.669,51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lastRenderedPageBreak/>
        <w:t>Nabavljene su knjige (lektire) za knjižnicu i udžbenici za učenike u školskoj godini 2025/2026g.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36.511,26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41.669,51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Nabavljene su knjige (lektire) za knjižnicu i udžbenici za učenike u školskoj godini 2025/2026g.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1.271.365,23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Početno stanje iz prethodne godine.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primitaka - preneseni (šifre </w:t>
            </w:r>
            <w:r>
              <w:rPr>
                <w:sz w:val="18"/>
              </w:rPr>
              <w:t>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47.408,33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71.747,41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151,3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Višak iz prethodne godine.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109.761,30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201.875,73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183,9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 xml:space="preserve">Više sredstava na žiro računu škole zbog nepodmirenih obveza uslijed organizacijskih promjena u računovodstvu. Dodatno je došlo do zastoja zbog nemogućnosti brze izrade potrebnih certifikata za plaćanje što je utjecalo na pravovremenu realizaciju plaćanja </w:t>
      </w:r>
      <w:r>
        <w:t>ulaznih računa.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1108,6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Nabavljeni su novi strojevi za održavanje okoliša škole.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66.598,84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108.118,35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162,3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Povećanje iznosa zbog kupnje novih udžbenika za učenike u školskoj godini 2025/2026.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109.572,91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201.875,73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184,2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 xml:space="preserve">Više sredstava na žiro računu škole zbog nepodmirenih obveza uslijed organizacijskih promjena u računovodstvu. Dodatno je došlo do zastoja zbog nemogućnosti brze izrade potrebnih certifikata za plaćanje što je utjecalo na pravovremenu realizaciju plaćanja </w:t>
      </w:r>
      <w:r>
        <w:t>ulaznih računa.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13.971,50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22.262,19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Odnosi se na potraživanja prema Hrvatskom zavodu za zdravstveno osiguranje za naknade plaća za bolovanje na teret HZZO-a.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</w:t>
            </w:r>
            <w:r>
              <w:rPr>
                <w:sz w:val="18"/>
              </w:rPr>
              <w:t>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18.328,68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181.810,16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991,9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Iznosi na ovim kontima veći su u odnosu na prošlo izvještajno razdoblje zbog odredbi iz novog Pravilnika o proračunskom računovodstvu i Računskom planu na temelju kojeg je propisano da se podskupina računa 193 Kontinuirani rashodi budućih razdoblja ukida t</w:t>
      </w:r>
      <w:r>
        <w:t>e da se od 1. siječnja 2025. godine kontinuirani rashodi budućih razdoblja knjiže na 16361.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prodaje proizvoda i robe te </w:t>
            </w:r>
            <w:r>
              <w:rPr>
                <w:sz w:val="18"/>
              </w:rPr>
              <w:t>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187,9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Potraživanja se odnose na izdane izlazne račune prema najmoprimcima za najam školskog prostora.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25.266,92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140.490,31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556,0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Dospjele obveze nepodmirene su uslijed organizacijskih promjena u računovodstvu. Dodatno je došlo do zastoja zbog nemogućnosti brze izrade potrebnih certifikata za plaćanje što je utjecalo na pravovremenu realizaciju plaćanja ulaznih računa. Poduzete su sv</w:t>
      </w:r>
      <w:r>
        <w:t xml:space="preserve">e potrebne radnje te su se u najkraćem vremenskom roku </w:t>
      </w:r>
      <w:proofErr w:type="spellStart"/>
      <w:r>
        <w:t>otkolonili</w:t>
      </w:r>
      <w:proofErr w:type="spellEnd"/>
      <w:r>
        <w:t xml:space="preserve"> nedostaci. Računi su plaćeni u siječnju 2026.godine.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financijske rashode </w:t>
            </w:r>
            <w:r>
              <w:rPr>
                <w:sz w:val="18"/>
              </w:rPr>
              <w:t>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4097,6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Obveza se odnosi na FINA usluge za 12/2025.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19.312,33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1163,5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Nabavljena je oprema za školu, obveza će biti podmirena u siječnju 2026.g.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</w:t>
            </w:r>
            <w:r>
              <w:rPr>
                <w:sz w:val="18"/>
              </w:rPr>
              <w:t>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Knjižen je iznos bolovanja prema odredbi iz novog Pravilnika o proračunskom računovodstvu i Računskom planu.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</w:t>
            </w:r>
            <w:r>
              <w:rPr>
                <w:sz w:val="18"/>
              </w:rPr>
              <w:t xml:space="preserve">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71.747,41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-185.162,44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-258,1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Manjak prihoda i primitaka u iznosu od 185.162,44 € nastao je zbog odredbi iz novog Pravilnika o proračunskom računovodstvu i Računskom planu na temelju kojeg je propisano da se podskupina računa 193 Kontinuirani rashodi budućih razdoblja ukida te da se od</w:t>
      </w:r>
      <w:r>
        <w:t xml:space="preserve"> 1. siječnja 2025. godine kontinuirani rashodi budućih razdoblja prenose i knjiže na odgovarajuće račune razreda 3 Rashodi poslovanja. Slijedom navedenog rashodi na kontima plaće veći su jer uključuju sedmi rashod odnosno trošak plaća za prosinac 2025. god</w:t>
      </w:r>
      <w:r>
        <w:t>ine. Prihodi će se priznati u siječnju 2026. godine prilikom isplate plaće i primitka sredstava za njihovo podmirenje te će nivelirati ovaj nastali manjak.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18.328,66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183.790,77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1002,8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lastRenderedPageBreak/>
        <w:t>Iznosi na ovim kontima veći su u odnosu na prošlo izvještajno razdoblje zbog odredbi iz novog Pravilnika o proračunskom računovodstvu i Računskom planu na temelju kojeg je propisano da se podskupina računa 193 Kontinuirani rashodi budućih razdoblja ukida t</w:t>
      </w:r>
      <w:r>
        <w:t>e da se od 1. siječnja 2025. godine kontinuirani rashodi budućih razdoblja knjiže na 96361.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Odnosi se na EU projekte škole.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se odnosi na izdane izlazne račune prema najmoprimcima za najam školskog prostora.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2.459.619,85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3.178.379,34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od 3.178.379,34 € odnosi se na rashode poslovanja i rashode za nabavu nefinancijske imovine bez rashoda za prehranu učenika.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126.176,29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137.217,07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od 137.217,07 € odnosi se na rashode vezane za prehranu učenika.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6347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je evidentiran prema uputu Gradskog ureda za financije i javnu nabavu, odnosi se na prijenos imovine (prijenosnog računala) i nabavu senzora za kvalitetu zraka.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6347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31.763,05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Dospjele obveze nepodmirene su uslijed organizacijskih promjena u računovodstvu. Dodatno je došlo do zastoja zbog nemogućnosti brze izrade potrebnih certifikata za plaćanje što je utjecalo na pravovremenu realizaciju plaćanja ulaznih računa. Poduzete su sv</w:t>
      </w:r>
      <w:r>
        <w:t xml:space="preserve">e potrebne radnje te su se u najkraćem vremenskom roku </w:t>
      </w:r>
      <w:proofErr w:type="spellStart"/>
      <w:r>
        <w:t>otkolonili</w:t>
      </w:r>
      <w:proofErr w:type="spellEnd"/>
      <w:r>
        <w:t xml:space="preserve"> nedostaci. Računi su plaćeni u siječnju 2026.godine.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34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347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351.994,60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34758" w:rsidRDefault="00DE77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34758" w:rsidRDefault="00634758">
      <w:pPr>
        <w:spacing w:after="0"/>
      </w:pPr>
    </w:p>
    <w:p w:rsidR="00634758" w:rsidRDefault="00DE770A">
      <w:r>
        <w:t>Iznos od 376.069,84 € odnosi se na nedospjele obveze nastale tijekom prosinca 2025. godine koje dospijevaju u sljedećem izvještajnom razdoblju odnosno u siječnju 2026. godine, a najvećim dijelom odnose ne na troškove plaća djelatnika za prosinac 2025. godi</w:t>
      </w:r>
      <w:r>
        <w:t>ne. </w:t>
      </w:r>
    </w:p>
    <w:p w:rsidR="00634758" w:rsidRDefault="00634758"/>
    <w:p w:rsidR="00634758" w:rsidRDefault="00DE770A">
      <w:pPr>
        <w:keepNext/>
        <w:spacing w:line="240" w:lineRule="auto"/>
        <w:jc w:val="center"/>
      </w:pPr>
      <w:r>
        <w:rPr>
          <w:sz w:val="28"/>
        </w:rPr>
        <w:t>Bilješka 45.</w:t>
      </w:r>
    </w:p>
    <w:p w:rsidR="00634758" w:rsidRDefault="00DE770A">
      <w:pPr>
        <w:spacing w:line="240" w:lineRule="auto"/>
        <w:jc w:val="both"/>
      </w:pPr>
      <w:r>
        <w:rPr>
          <w:b/>
        </w:rPr>
        <w:t>EU izvještaj</w:t>
      </w:r>
    </w:p>
    <w:p w:rsidR="00634758" w:rsidRDefault="00DE770A">
      <w:r>
        <w:t xml:space="preserve">U EU izvještaju uneseni su prihodi i rashodi vezani za </w:t>
      </w:r>
      <w:proofErr w:type="spellStart"/>
      <w:r>
        <w:t>Erasmus</w:t>
      </w:r>
      <w:proofErr w:type="spellEnd"/>
      <w:r>
        <w:t xml:space="preserve"> projekte.</w:t>
      </w:r>
    </w:p>
    <w:p w:rsidR="00634758" w:rsidRDefault="00634758"/>
    <w:sectPr w:rsidR="00634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58"/>
    <w:rsid w:val="000028BC"/>
    <w:rsid w:val="00634758"/>
    <w:rsid w:val="00D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FFFD0-34A9-40C1-8761-0058D135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Vrban</dc:creator>
  <cp:lastModifiedBy>Marija Davidović</cp:lastModifiedBy>
  <cp:revision>2</cp:revision>
  <dcterms:created xsi:type="dcterms:W3CDTF">2026-02-04T10:03:00Z</dcterms:created>
  <dcterms:modified xsi:type="dcterms:W3CDTF">2026-02-04T10:03:00Z</dcterms:modified>
</cp:coreProperties>
</file>