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73f3e8f0141b6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14584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O.Š. IVE ANDRIĆA, ZAGREB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1.350.141,26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1.826.087,08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135,3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1.495.587,25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1.820.502,99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121,7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5.584,09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4.760,55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1.840,41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4.760,55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1.840,41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38,7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3.743,68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OŠ Ive Andrića je u periodu od 1.-6. 2026. godine ostvarila višak prihoda u iznosu 3.743,68 eura, ali se iz prethodnog perioda prenosi manjak od 185.162,44 eura. Navedeni višak je umanjio iznos od 185.162,44 eura te u konačnici manjak iznosi 181.418,76 eura.</w:t>
      </w:r>
    </w:p>
    <w:p>
      <w:r>
        <w:t xml:space="preserve">Manjak prihoda i primitaka u iznosu od 181.418,76 € nastao je zbog odredbi iz novog Pravilnika o proračunskom računovodstvu i Računskom planu na temelju kojeg je propisano da se podskupina računa 193 Kontinuirani rashodi budućih razdoblja ukida te da se od 1. siječnja 2025. godine kontinuirani rashodi budućih razdoblja prenose i knjiže na odgovarajuće račune razreda 3 Rashodi poslovanja. </w:t>
      </w:r>
    </w:p>
    <w:p>
      <w:r>
        <w:t xml:space="preserve">Slijedom navedenog rashodi na kontima plaće prikazuju 6 obračuna plaća (siječanj do lipanj 2026.), a na strani prihoda je proknjiženo 5 uplata za plaće. Prihod za plaću za lipanj će se priznati u srpnju 2026. godine prilikom isplate plaće i primitka sredstava za njihovo podmirenje te će nivelirati ovaj nastali manjak.</w:t>
      </w:r>
    </w:p>
    <w:p>
      <w:r>
        <w:t xml:space="preserve">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pruženih usluga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17.734,09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14.583,91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82,2</w:t>
            </w:r>
          </w:p>
        </w:tc>
      </w:tr>
    </w:tbl>
    <w:p>
      <w:pPr>
        <w:spacing w:before="0" w:after="0"/>
      </w:pPr>
    </w:p>
    <w:p>
      <w:r>
        <w:t xml:space="preserve">Smanjio se prihod od najma dvorane zbog manjeg broja ostvaren sati.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redovne djelatnosti proračunskih korisnika (šifre 6711 do 6714)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331.149,93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758.818,29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229,1</w:t>
            </w:r>
          </w:p>
        </w:tc>
      </w:tr>
    </w:tbl>
    <w:p>
      <w:pPr>
        <w:spacing w:before="0" w:after="0"/>
      </w:pPr>
    </w:p>
    <w:p>
      <w:r>
        <w:t xml:space="preserve">Uvećane uplate grada za refundaciju radova za tekuće održavanje zgrade škole.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Ptihod Grada za uređenje školskih prostorija.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20.234,26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317.690,78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1570,1</w:t>
            </w:r>
          </w:p>
        </w:tc>
      </w:tr>
    </w:tbl>
    <w:p>
      <w:pPr>
        <w:spacing w:before="0" w:after="0"/>
      </w:pPr>
    </w:p>
    <w:p>
      <w:r>
        <w:t xml:space="preserve">Popravci na zgradi škole te je navedene troškove refundirao Grad.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Premije osiguranja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222,25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5.146,56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2315,7</w:t>
            </w:r>
          </w:p>
        </w:tc>
      </w:tr>
    </w:tbl>
    <w:p>
      <w:pPr>
        <w:spacing w:before="0" w:after="0"/>
      </w:pPr>
    </w:p>
    <w:p>
      <w:r>
        <w:t xml:space="preserve">Trošak osiguranja zgrade škole kojj se podmiruje iz novčanih sredstava Grada.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41.342,93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Iznos se odnosi na proknjižene, ali neplaćene račune za koje se čeka refundacija grada ili su nepodmirene uslijed organizacijskih promjena u računovodstvu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Međusobne obveze subjekata općeg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28.166,03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Odnosi se na potraživanja prema Hrvatskom zavodu za zdravstveno osiguranje za naknade plaća za bolovanje na teret HZZO-a.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212.437,36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Iznos od 212.437,36 € odnosi se na nedospjele obveze nastale tijekom lipnja 2026. godine koje dospijevaju u srpnju 2026. godine, a najvećim dijelom odnose ne na troškove plaća djelatnika za lipanj 2026. godine.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Odnosi se na EU projekte škole.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4ee65d96df44797" /></Relationships>
</file>